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64D7AC7D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E235EC">
        <w:rPr>
          <w:rFonts w:ascii="Cambria Math" w:hAnsi="Cambria Math"/>
          <w:b/>
          <w:bCs/>
          <w:color w:val="000000"/>
          <w:spacing w:val="-2"/>
        </w:rPr>
        <w:t>6</w:t>
      </w:r>
    </w:p>
    <w:p w14:paraId="5EFEBD3E" w14:textId="6F2BD183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10CAB737" w14:textId="77777777" w:rsidR="002C392A" w:rsidRPr="005E49FE" w:rsidRDefault="002C392A" w:rsidP="002C392A">
      <w:pPr>
        <w:shd w:val="clear" w:color="auto" w:fill="FFFFFF"/>
        <w:jc w:val="center"/>
        <w:rPr>
          <w:rFonts w:ascii="Cambria Math" w:hAnsi="Cambria Math"/>
          <w:b/>
          <w:bCs/>
          <w:color w:val="000000"/>
          <w:spacing w:val="-2"/>
        </w:rPr>
      </w:pPr>
      <w:bookmarkStart w:id="0" w:name="_Hlk195251217"/>
      <w:r>
        <w:rPr>
          <w:rFonts w:ascii="Cambria Math" w:hAnsi="Cambria Math"/>
          <w:b/>
          <w:bCs/>
          <w:color w:val="000000"/>
          <w:spacing w:val="-2"/>
        </w:rPr>
        <w:t>SPRZĘT MEDYCZNY DO PODAWANIA LEKÓW I PŁYNÓW INFUZYJNYCH</w:t>
      </w:r>
    </w:p>
    <w:p w14:paraId="0E3D09FF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DE384D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5E49FE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p w14:paraId="13EC19E1" w14:textId="2B2F09D7" w:rsidR="00444BB4" w:rsidRDefault="002C392A" w:rsidP="006A51D7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127614">
        <w:rPr>
          <w:rFonts w:ascii="Cambria Math" w:eastAsiaTheme="minorHAnsi" w:hAnsi="Cambria Math"/>
          <w:b/>
          <w:bCs/>
          <w:kern w:val="2"/>
          <w14:ligatures w14:val="standardContextual"/>
        </w:rPr>
        <w:t>Pompy infuzyjne – 8 szt.</w:t>
      </w:r>
    </w:p>
    <w:p w14:paraId="2B250310" w14:textId="77777777" w:rsidR="002C392A" w:rsidRDefault="002C392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596D2E" w:rsidRPr="005E49FE" w14:paraId="08C1BC62" w14:textId="77777777" w:rsidTr="00596D2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01CD95A" w14:textId="053D6CCD" w:rsidR="00596D2E" w:rsidRPr="00506228" w:rsidRDefault="00596D2E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4DCB3BCB" w14:textId="20839990" w:rsidR="00596D2E" w:rsidRDefault="00596D2E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2C392A" w:rsidRPr="005E49FE" w14:paraId="5B4436D3" w14:textId="77777777" w:rsidTr="007F6398">
        <w:trPr>
          <w:trHeight w:val="337"/>
        </w:trPr>
        <w:tc>
          <w:tcPr>
            <w:tcW w:w="522" w:type="dxa"/>
            <w:vAlign w:val="center"/>
          </w:tcPr>
          <w:p w14:paraId="27C1BF04" w14:textId="77777777" w:rsidR="002C392A" w:rsidRPr="0050622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4EC9BA1E" w14:textId="43315EF5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 xml:space="preserve">Stosowanie strzykawek 2, 5, 6, 10, 12, 20, 30, 35, 50 ml. </w:t>
            </w:r>
          </w:p>
        </w:tc>
      </w:tr>
      <w:tr w:rsidR="002C392A" w:rsidRPr="005E49FE" w14:paraId="146B4D9D" w14:textId="77777777" w:rsidTr="00F36A99">
        <w:tc>
          <w:tcPr>
            <w:tcW w:w="522" w:type="dxa"/>
            <w:vAlign w:val="center"/>
          </w:tcPr>
          <w:p w14:paraId="62F81C2F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279D" w14:textId="5814A95B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Strzykawki montowane od czoła.</w:t>
            </w:r>
          </w:p>
        </w:tc>
      </w:tr>
      <w:tr w:rsidR="002C392A" w:rsidRPr="005E49FE" w14:paraId="4C4B0294" w14:textId="77777777" w:rsidTr="00F36A99">
        <w:tc>
          <w:tcPr>
            <w:tcW w:w="522" w:type="dxa"/>
            <w:vAlign w:val="center"/>
          </w:tcPr>
          <w:p w14:paraId="738D2C8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2BD4C" w14:textId="2BB1E56C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Ramię pompy niewychodzące poza gabaryt obudowy.</w:t>
            </w:r>
          </w:p>
        </w:tc>
      </w:tr>
      <w:tr w:rsidR="002C392A" w:rsidRPr="005E49FE" w14:paraId="135ED933" w14:textId="77777777" w:rsidTr="00F36A99">
        <w:tc>
          <w:tcPr>
            <w:tcW w:w="522" w:type="dxa"/>
            <w:vAlign w:val="center"/>
          </w:tcPr>
          <w:p w14:paraId="74AED143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EDF3" w14:textId="62BB2025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 xml:space="preserve">Klawiatura symboliczna i alfanumeryczna umożliwiająca szybkie i intuicyjne programowanie infuzji oraz obsługę pompy-nie dopuszcza się klawiatury wyświetlanej na ekranie pompy. </w:t>
            </w:r>
          </w:p>
        </w:tc>
      </w:tr>
      <w:tr w:rsidR="002C392A" w:rsidRPr="005E49FE" w14:paraId="484C84B4" w14:textId="77777777" w:rsidTr="00F36A99">
        <w:tc>
          <w:tcPr>
            <w:tcW w:w="522" w:type="dxa"/>
            <w:vAlign w:val="center"/>
          </w:tcPr>
          <w:p w14:paraId="38BF3EE9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5221" w14:textId="3FCD2952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 xml:space="preserve">Wysokość pompy +/- 11 cm </w:t>
            </w:r>
          </w:p>
        </w:tc>
      </w:tr>
      <w:tr w:rsidR="002C392A" w:rsidRPr="005E49FE" w14:paraId="492ECBC9" w14:textId="77777777" w:rsidTr="00F36A99">
        <w:tc>
          <w:tcPr>
            <w:tcW w:w="522" w:type="dxa"/>
            <w:vAlign w:val="center"/>
          </w:tcPr>
          <w:p w14:paraId="3A8BD192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3A243" w14:textId="3CB70E9F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Szybkość dozowania w zakresie 0,01-2000 ml/h</w:t>
            </w:r>
          </w:p>
        </w:tc>
      </w:tr>
      <w:tr w:rsidR="002C392A" w:rsidRPr="005E49FE" w14:paraId="3C8FB576" w14:textId="77777777" w:rsidTr="00F36A99">
        <w:tc>
          <w:tcPr>
            <w:tcW w:w="522" w:type="dxa"/>
            <w:vAlign w:val="center"/>
          </w:tcPr>
          <w:p w14:paraId="234CCBC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8CFD0" w14:textId="77777777" w:rsidR="002C392A" w:rsidRPr="00FC0B4D" w:rsidRDefault="002C392A" w:rsidP="002C392A">
            <w:pPr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>Programowanie parametrów infuzji w jednostkach:</w:t>
            </w:r>
          </w:p>
          <w:p w14:paraId="2E09478A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ml, L,</w:t>
            </w:r>
          </w:p>
          <w:p w14:paraId="350A3EF8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ng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μg</w:t>
            </w:r>
            <w:proofErr w:type="spellEnd"/>
            <w:r w:rsidRPr="00FC0B4D">
              <w:rPr>
                <w:rFonts w:ascii="Cambria Math" w:hAnsi="Cambria Math"/>
              </w:rPr>
              <w:t>, mg, g,</w:t>
            </w:r>
          </w:p>
          <w:p w14:paraId="651E6EA8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μEq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mEq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Eq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5B881692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mlU</w:t>
            </w:r>
            <w:proofErr w:type="spellEnd"/>
            <w:r w:rsidRPr="00FC0B4D">
              <w:rPr>
                <w:rFonts w:ascii="Cambria Math" w:hAnsi="Cambria Math"/>
              </w:rPr>
              <w:t xml:space="preserve">, IU, </w:t>
            </w:r>
            <w:proofErr w:type="spellStart"/>
            <w:r w:rsidRPr="00FC0B4D">
              <w:rPr>
                <w:rFonts w:ascii="Cambria Math" w:hAnsi="Cambria Math"/>
              </w:rPr>
              <w:t>kIU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0ED6BC54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mIE</w:t>
            </w:r>
            <w:proofErr w:type="spellEnd"/>
            <w:r w:rsidRPr="00FC0B4D">
              <w:rPr>
                <w:rFonts w:ascii="Cambria Math" w:hAnsi="Cambria Math"/>
              </w:rPr>
              <w:t xml:space="preserve">, IE, </w:t>
            </w:r>
            <w:proofErr w:type="spellStart"/>
            <w:r w:rsidRPr="00FC0B4D">
              <w:rPr>
                <w:rFonts w:ascii="Cambria Math" w:hAnsi="Cambria Math"/>
              </w:rPr>
              <w:t>kIE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5F039B76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cal, kcal,</w:t>
            </w:r>
          </w:p>
          <w:p w14:paraId="286FD982" w14:textId="77777777" w:rsidR="002C392A" w:rsidRPr="00FC0B4D" w:rsidRDefault="002C392A" w:rsidP="002C392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J, </w:t>
            </w:r>
            <w:proofErr w:type="spellStart"/>
            <w:r w:rsidRPr="00FC0B4D">
              <w:rPr>
                <w:rFonts w:ascii="Cambria Math" w:hAnsi="Cambria Math"/>
              </w:rPr>
              <w:t>kJ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65F80952" w14:textId="77777777" w:rsidR="002C392A" w:rsidRPr="00FC0B4D" w:rsidRDefault="002C392A" w:rsidP="002C392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6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mmol</w:t>
            </w:r>
            <w:proofErr w:type="spellEnd"/>
            <w:r w:rsidRPr="00FC0B4D">
              <w:rPr>
                <w:rFonts w:ascii="Cambria Math" w:hAnsi="Cambria Math"/>
              </w:rPr>
              <w:t xml:space="preserve">, mol, </w:t>
            </w:r>
          </w:p>
          <w:p w14:paraId="778A785C" w14:textId="77777777" w:rsidR="002C392A" w:rsidRPr="00FC0B4D" w:rsidRDefault="002C392A" w:rsidP="002C392A">
            <w:pPr>
              <w:ind w:left="99"/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>z uwzględnieniem wagi pacjenta lub nie,</w:t>
            </w:r>
          </w:p>
          <w:p w14:paraId="16385F01" w14:textId="77777777" w:rsidR="002C392A" w:rsidRPr="00FC0B4D" w:rsidRDefault="002C392A" w:rsidP="002C392A">
            <w:pPr>
              <w:ind w:left="99"/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z uwzględnieniem powierzchni pacjenta lub nie, </w:t>
            </w:r>
          </w:p>
          <w:p w14:paraId="5432E231" w14:textId="0BA16D54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na min, godz., dobę.</w:t>
            </w:r>
          </w:p>
        </w:tc>
      </w:tr>
      <w:tr w:rsidR="002C392A" w:rsidRPr="005E49FE" w14:paraId="6FDB9B72" w14:textId="77777777" w:rsidTr="00F36A99">
        <w:trPr>
          <w:trHeight w:val="584"/>
        </w:trPr>
        <w:tc>
          <w:tcPr>
            <w:tcW w:w="522" w:type="dxa"/>
            <w:vAlign w:val="center"/>
          </w:tcPr>
          <w:p w14:paraId="703140C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65D1" w14:textId="4AEBD953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Zabezpieczenie przed gwałtowną zmianą szybkości w trakcie trwania infuzji (miareczkowanie).</w:t>
            </w:r>
          </w:p>
        </w:tc>
      </w:tr>
      <w:tr w:rsidR="002C392A" w:rsidRPr="005E49FE" w14:paraId="61655150" w14:textId="77777777" w:rsidTr="00F36A99">
        <w:tc>
          <w:tcPr>
            <w:tcW w:w="522" w:type="dxa"/>
            <w:vAlign w:val="center"/>
          </w:tcPr>
          <w:p w14:paraId="56E753E8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2CA1" w14:textId="77777777" w:rsidR="002C392A" w:rsidRPr="00FC0B4D" w:rsidRDefault="002C392A" w:rsidP="002C392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Tryby dozowania:</w:t>
            </w:r>
          </w:p>
          <w:p w14:paraId="0FA5F069" w14:textId="77777777" w:rsidR="002C392A" w:rsidRPr="00FC0B4D" w:rsidRDefault="002C392A" w:rsidP="002C392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Infuzja ciągła,</w:t>
            </w:r>
          </w:p>
          <w:p w14:paraId="6C04B067" w14:textId="77777777" w:rsidR="002C392A" w:rsidRPr="00FC0B4D" w:rsidRDefault="002C392A" w:rsidP="002C392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Infuzja bolusowa (z przerwą),</w:t>
            </w:r>
          </w:p>
          <w:p w14:paraId="0AF04B78" w14:textId="77777777" w:rsidR="002C392A" w:rsidRPr="00FC0B4D" w:rsidRDefault="002C392A" w:rsidP="002C392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  <w:kern w:val="2"/>
              </w:rPr>
            </w:pPr>
            <w:r w:rsidRPr="00FC0B4D">
              <w:rPr>
                <w:rFonts w:ascii="Cambria Math" w:hAnsi="Cambria Math"/>
              </w:rPr>
              <w:t>Infuzja profilowa (min. 16 kroków infuzji),</w:t>
            </w:r>
          </w:p>
          <w:p w14:paraId="04116AB8" w14:textId="3F8BEB5F" w:rsidR="002C392A" w:rsidRPr="00FC0B4D" w:rsidRDefault="002C392A" w:rsidP="002C392A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Infuzja TPN (narastanie / utrzymanie / opadanie).</w:t>
            </w:r>
          </w:p>
        </w:tc>
      </w:tr>
      <w:tr w:rsidR="002C392A" w:rsidRPr="005E49FE" w14:paraId="6DB2C534" w14:textId="77777777" w:rsidTr="00F36A99">
        <w:trPr>
          <w:trHeight w:val="568"/>
        </w:trPr>
        <w:tc>
          <w:tcPr>
            <w:tcW w:w="522" w:type="dxa"/>
            <w:vAlign w:val="center"/>
          </w:tcPr>
          <w:p w14:paraId="06ED628D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B2" w14:textId="75D17EDD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Dokładność infuzji ± 2%</w:t>
            </w:r>
          </w:p>
        </w:tc>
      </w:tr>
      <w:tr w:rsidR="002C392A" w:rsidRPr="005E49FE" w14:paraId="73330D01" w14:textId="77777777" w:rsidTr="00F36A99">
        <w:tc>
          <w:tcPr>
            <w:tcW w:w="522" w:type="dxa"/>
            <w:vAlign w:val="center"/>
          </w:tcPr>
          <w:p w14:paraId="7E445A97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CDEF2" w14:textId="77777777" w:rsidR="002C392A" w:rsidRPr="00FC0B4D" w:rsidRDefault="002C392A" w:rsidP="002C392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Programowanie parametrów podaży Bolus-a i dawki indukcyjnej:</w:t>
            </w:r>
          </w:p>
          <w:p w14:paraId="0001AABB" w14:textId="77777777" w:rsidR="002C392A" w:rsidRPr="00FC0B4D" w:rsidRDefault="002C392A" w:rsidP="002C3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- objętość / dawka</w:t>
            </w:r>
          </w:p>
          <w:p w14:paraId="1F54590E" w14:textId="5AFF7FFB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- czas lub szybkość podaży</w:t>
            </w:r>
          </w:p>
        </w:tc>
      </w:tr>
      <w:tr w:rsidR="002C392A" w:rsidRPr="005E49FE" w14:paraId="57A4BC17" w14:textId="77777777" w:rsidTr="00F36A99">
        <w:trPr>
          <w:trHeight w:val="323"/>
        </w:trPr>
        <w:tc>
          <w:tcPr>
            <w:tcW w:w="522" w:type="dxa"/>
            <w:vAlign w:val="center"/>
          </w:tcPr>
          <w:p w14:paraId="0886DBAC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1626" w14:textId="16DDA06E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FC0B4D">
              <w:rPr>
                <w:rFonts w:ascii="Cambria Math" w:hAnsi="Cambria Math"/>
              </w:rPr>
              <w:t>Automatyczna zmniejszenie szybkości podaży bolusa, w celu uniknięcia przerwania infuzji na skutek alarmu okluzji.</w:t>
            </w:r>
          </w:p>
        </w:tc>
      </w:tr>
      <w:tr w:rsidR="002C392A" w:rsidRPr="005E49FE" w14:paraId="4D69F38D" w14:textId="77777777" w:rsidTr="00F36A99">
        <w:tc>
          <w:tcPr>
            <w:tcW w:w="522" w:type="dxa"/>
            <w:vAlign w:val="center"/>
          </w:tcPr>
          <w:p w14:paraId="65D0AA7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5A27" w14:textId="77777777" w:rsidR="002C392A" w:rsidRPr="00FC0B4D" w:rsidRDefault="002C392A" w:rsidP="002C392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Możliwość wgrania do pompy biblioteki leków złożonej z procedur dozowania zawierających co najmniej:</w:t>
            </w:r>
          </w:p>
          <w:p w14:paraId="3E6F5ADE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nazwy leku,</w:t>
            </w:r>
          </w:p>
          <w:p w14:paraId="50FDC22D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10 koncentracji leku,</w:t>
            </w:r>
          </w:p>
          <w:p w14:paraId="320F15C9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szybkości dozowania (dawkowanie),</w:t>
            </w:r>
          </w:p>
          <w:p w14:paraId="07C386E8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całkowitej objętości (dawki) infuzji,</w:t>
            </w:r>
          </w:p>
          <w:p w14:paraId="731B1F4F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parametrów bolusa, oraz dawki indukcyjnej,</w:t>
            </w:r>
          </w:p>
          <w:p w14:paraId="728D2045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limitów dla wymienionych parametrów infuzji:</w:t>
            </w:r>
          </w:p>
          <w:p w14:paraId="2B1BD999" w14:textId="77777777" w:rsidR="002C392A" w:rsidRPr="00FC0B4D" w:rsidRDefault="002C392A" w:rsidP="002C392A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 xml:space="preserve">miękkich, ostrzegających o przekroczeniu zalecanych wartości parametrów, </w:t>
            </w:r>
          </w:p>
          <w:p w14:paraId="66779706" w14:textId="77777777" w:rsidR="002C392A" w:rsidRPr="00FC0B4D" w:rsidRDefault="002C392A" w:rsidP="002C392A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twardych – blokujących możliwość wprowadzenia wartości spoza ich zakresu.</w:t>
            </w:r>
          </w:p>
          <w:p w14:paraId="14E9B638" w14:textId="77777777" w:rsidR="002C392A" w:rsidRPr="00FC0B4D" w:rsidRDefault="002C392A" w:rsidP="002C392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Notatki doradczej możliwej do odczytania przed rozpoczęciem infuzji.</w:t>
            </w:r>
          </w:p>
          <w:p w14:paraId="6500518B" w14:textId="77777777" w:rsidR="002C392A" w:rsidRPr="00FC0B4D" w:rsidRDefault="002C392A" w:rsidP="002C392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Podział biblioteki na osobne grupy dedykowane poszczególnym oddziałom szpitalnym, do 40 oddziałów. Wybór oddziału dostępny w pompie.</w:t>
            </w:r>
          </w:p>
          <w:p w14:paraId="58451B1C" w14:textId="77777777" w:rsidR="002C392A" w:rsidRPr="00FC0B4D" w:rsidRDefault="002C392A" w:rsidP="002C392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Podział biblioteki dedykowanej oddziałom na 40 kategorii lekowych.</w:t>
            </w:r>
          </w:p>
          <w:p w14:paraId="1128E849" w14:textId="6E2DE44D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Pojemność biblioteki 4000 procedur dozowania leków.</w:t>
            </w:r>
          </w:p>
        </w:tc>
      </w:tr>
      <w:tr w:rsidR="002C392A" w:rsidRPr="005E49FE" w14:paraId="2CC1A2FB" w14:textId="77777777" w:rsidTr="00F36A99">
        <w:tc>
          <w:tcPr>
            <w:tcW w:w="522" w:type="dxa"/>
            <w:vAlign w:val="center"/>
          </w:tcPr>
          <w:p w14:paraId="74B15876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AAD1" w14:textId="719C43B9" w:rsidR="002C392A" w:rsidRPr="00FC0B4D" w:rsidRDefault="002C392A" w:rsidP="002C392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Dostępność polskojęzycznego oprogramowania komputerowego do tworzenia i przesyłania do pompy biblioteki leków.</w:t>
            </w:r>
          </w:p>
        </w:tc>
      </w:tr>
      <w:tr w:rsidR="002C392A" w:rsidRPr="005E49FE" w14:paraId="79226497" w14:textId="77777777" w:rsidTr="00F36A99">
        <w:tc>
          <w:tcPr>
            <w:tcW w:w="522" w:type="dxa"/>
            <w:vAlign w:val="center"/>
          </w:tcPr>
          <w:p w14:paraId="1B96530C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03D3" w14:textId="77777777" w:rsidR="002C392A" w:rsidRPr="00FC0B4D" w:rsidRDefault="002C392A" w:rsidP="002C392A">
            <w:pPr>
              <w:rPr>
                <w:rFonts w:ascii="Cambria Math" w:hAnsi="Cambria Math" w:cs="Calibri"/>
                <w:b/>
                <w:bCs/>
                <w:kern w:val="2"/>
              </w:rPr>
            </w:pPr>
            <w:r w:rsidRPr="00FC0B4D">
              <w:rPr>
                <w:rFonts w:ascii="Cambria Math" w:hAnsi="Cambria Math"/>
              </w:rPr>
              <w:t>Ekran infuzji umożliwiający wyświetlenie następujących informacji jednocześnie:</w:t>
            </w:r>
          </w:p>
          <w:p w14:paraId="10A2739F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nazwa leku,</w:t>
            </w:r>
          </w:p>
          <w:p w14:paraId="433A568E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koncentracja leku,</w:t>
            </w:r>
          </w:p>
          <w:p w14:paraId="30175D7A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szybkość infuzji,</w:t>
            </w:r>
          </w:p>
          <w:p w14:paraId="0B69EDA3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informacji, że wartość szybkości infuzji mieści się w zalecanym zakresie lub znajduje się w zakresie limitu miękkiego dolnego lub górnego,</w:t>
            </w:r>
          </w:p>
          <w:p w14:paraId="79CE314C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podana dawka,</w:t>
            </w:r>
          </w:p>
          <w:p w14:paraId="76461B74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poziom limitów dla szybkości infuzji,</w:t>
            </w:r>
          </w:p>
          <w:p w14:paraId="7A98323D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czas do końca dawki lub czas do końca strzykawki w formie graficznej,</w:t>
            </w:r>
          </w:p>
          <w:p w14:paraId="3BCC4D2A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kategorii leku wyodrębnionej kolorem,</w:t>
            </w:r>
          </w:p>
          <w:p w14:paraId="27B9199A" w14:textId="77777777" w:rsidR="002C392A" w:rsidRPr="00FC0B4D" w:rsidRDefault="002C392A" w:rsidP="002C392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stan naładowania akumulatora,</w:t>
            </w:r>
          </w:p>
          <w:p w14:paraId="44900571" w14:textId="0317FE84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aktualne ciśnienie w linii pacjenta w formie graficznej.</w:t>
            </w:r>
          </w:p>
        </w:tc>
      </w:tr>
      <w:tr w:rsidR="002C392A" w:rsidRPr="005E49FE" w14:paraId="45C0A8B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3779F150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58A9" w14:textId="4A8BD210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Ekran dotykowy, przyspieszający wybór funkcji pompy.</w:t>
            </w:r>
          </w:p>
        </w:tc>
      </w:tr>
      <w:tr w:rsidR="002C392A" w:rsidRPr="005E49FE" w14:paraId="6F7FDB06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B149DF1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BE1E5" w14:textId="71068DEC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Kolorystyczne wyróżnienie ekranu infuzji do żywienia dojelitowego względem innych realizowanych infuzji.</w:t>
            </w:r>
          </w:p>
        </w:tc>
      </w:tr>
      <w:tr w:rsidR="002C392A" w:rsidRPr="005E49FE" w14:paraId="5FEE0B99" w14:textId="77777777" w:rsidTr="00F36A99">
        <w:trPr>
          <w:trHeight w:val="70"/>
        </w:trPr>
        <w:tc>
          <w:tcPr>
            <w:tcW w:w="522" w:type="dxa"/>
            <w:vAlign w:val="center"/>
          </w:tcPr>
          <w:p w14:paraId="17027529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62A9" w14:textId="237F8CF9" w:rsidR="002C392A" w:rsidRPr="00FC0B4D" w:rsidRDefault="002C392A" w:rsidP="002C392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Napisy na wyświetlaczu w języku polskim.</w:t>
            </w:r>
          </w:p>
        </w:tc>
      </w:tr>
      <w:tr w:rsidR="002C392A" w:rsidRPr="005E49FE" w14:paraId="4FAA9E5A" w14:textId="77777777" w:rsidTr="00F36A99">
        <w:trPr>
          <w:trHeight w:val="70"/>
        </w:trPr>
        <w:tc>
          <w:tcPr>
            <w:tcW w:w="522" w:type="dxa"/>
            <w:vAlign w:val="center"/>
          </w:tcPr>
          <w:p w14:paraId="4A3FD004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BF55C" w14:textId="6F4FF835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Regulowane progi ciśnienia okluzji, 12 poziomów.</w:t>
            </w:r>
          </w:p>
        </w:tc>
      </w:tr>
      <w:tr w:rsidR="002C392A" w:rsidRPr="005E49FE" w14:paraId="2CF0131A" w14:textId="77777777" w:rsidTr="00F36A99">
        <w:trPr>
          <w:trHeight w:val="70"/>
        </w:trPr>
        <w:tc>
          <w:tcPr>
            <w:tcW w:w="522" w:type="dxa"/>
            <w:vAlign w:val="center"/>
          </w:tcPr>
          <w:p w14:paraId="41A4A906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2DEF" w14:textId="69F1FB98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Progi ciśnienia regulowane w zakresie 75-900 mmHg.</w:t>
            </w:r>
          </w:p>
        </w:tc>
      </w:tr>
      <w:tr w:rsidR="002C392A" w:rsidRPr="005E49FE" w14:paraId="5E40A7B0" w14:textId="77777777" w:rsidTr="00F36A99">
        <w:trPr>
          <w:trHeight w:val="70"/>
        </w:trPr>
        <w:tc>
          <w:tcPr>
            <w:tcW w:w="522" w:type="dxa"/>
            <w:vAlign w:val="center"/>
          </w:tcPr>
          <w:p w14:paraId="111987C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24D4" w14:textId="034DD741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Zmiana progu ciśnienia okluzji bez przerywania infuzji.</w:t>
            </w:r>
          </w:p>
        </w:tc>
      </w:tr>
      <w:tr w:rsidR="002C392A" w:rsidRPr="005E49FE" w14:paraId="7C4223A9" w14:textId="77777777" w:rsidTr="00F36A99">
        <w:trPr>
          <w:trHeight w:val="70"/>
        </w:trPr>
        <w:tc>
          <w:tcPr>
            <w:tcW w:w="522" w:type="dxa"/>
            <w:vAlign w:val="center"/>
          </w:tcPr>
          <w:p w14:paraId="716E007F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081E" w14:textId="5C4794B4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 xml:space="preserve">Automatyczna redukcja bolusa </w:t>
            </w:r>
            <w:proofErr w:type="spellStart"/>
            <w:r w:rsidRPr="00FC0B4D">
              <w:rPr>
                <w:rFonts w:ascii="Cambria Math" w:hAnsi="Cambria Math"/>
              </w:rPr>
              <w:t>okluzyjnego</w:t>
            </w:r>
            <w:proofErr w:type="spellEnd"/>
            <w:r w:rsidRPr="00FC0B4D">
              <w:rPr>
                <w:rFonts w:ascii="Cambria Math" w:hAnsi="Cambria Math"/>
              </w:rPr>
              <w:t>.</w:t>
            </w:r>
          </w:p>
        </w:tc>
      </w:tr>
      <w:tr w:rsidR="002C392A" w:rsidRPr="005E49FE" w14:paraId="3E2F585C" w14:textId="77777777" w:rsidTr="00F36A99">
        <w:trPr>
          <w:trHeight w:val="70"/>
        </w:trPr>
        <w:tc>
          <w:tcPr>
            <w:tcW w:w="522" w:type="dxa"/>
            <w:vAlign w:val="center"/>
          </w:tcPr>
          <w:p w14:paraId="105F1684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6CD8" w14:textId="4120B128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Priorytetowy system alarmów, zapewniający zróżnicowany sygnał dźwiękowy i świetlny, zależnie od stopnia zagrożenia.</w:t>
            </w:r>
          </w:p>
        </w:tc>
      </w:tr>
      <w:tr w:rsidR="002C392A" w:rsidRPr="005E49FE" w14:paraId="62E45D8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395D9C9C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2E5D" w14:textId="77777777" w:rsidR="002C392A" w:rsidRPr="00FC0B4D" w:rsidRDefault="002C392A" w:rsidP="002C392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Możliwość instalacji pompy w stacji dokującej:</w:t>
            </w:r>
          </w:p>
          <w:p w14:paraId="12B46FAB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Zatrzaskowe mocowanie z automatyczną blokadą, bez konieczności przykręcania.</w:t>
            </w:r>
          </w:p>
          <w:p w14:paraId="2F2CAA58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Alarm nieprawidłowego mocowania pomp w stacji,</w:t>
            </w:r>
          </w:p>
          <w:p w14:paraId="5F8FC6C9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Pompy mocowane niezależnie, jedna nad drugą, </w:t>
            </w:r>
          </w:p>
          <w:p w14:paraId="29C9FE8A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Automatyczne przyłączenie zasilania ze stacji dokującej,</w:t>
            </w:r>
          </w:p>
          <w:p w14:paraId="4536AEBA" w14:textId="77777777" w:rsidR="002C392A" w:rsidRPr="00FC0B4D" w:rsidRDefault="002C392A" w:rsidP="002C392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Automatyczne przyłączenie portu komunikacyjnego ze stacji dokującej,</w:t>
            </w:r>
          </w:p>
          <w:p w14:paraId="574DE8AF" w14:textId="5DD9F10E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lastRenderedPageBreak/>
              <w:t>Świetlna sygnalizacja stanu pomp: infuzja, alarm, STOP.</w:t>
            </w:r>
          </w:p>
        </w:tc>
      </w:tr>
      <w:tr w:rsidR="002C392A" w:rsidRPr="005E49FE" w14:paraId="58C49A6C" w14:textId="77777777" w:rsidTr="00F36A99">
        <w:trPr>
          <w:trHeight w:val="70"/>
        </w:trPr>
        <w:tc>
          <w:tcPr>
            <w:tcW w:w="522" w:type="dxa"/>
            <w:vAlign w:val="center"/>
          </w:tcPr>
          <w:p w14:paraId="6DE43F8E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72A09" w14:textId="0D019DF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</w:tr>
      <w:tr w:rsidR="002C392A" w:rsidRPr="005E49FE" w14:paraId="4E096A20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9650471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296A" w14:textId="121624E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</w:tr>
      <w:tr w:rsidR="002C392A" w:rsidRPr="005E49FE" w14:paraId="0C1304E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A392451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31755" w14:textId="7692D51C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Uchwyt do przenoszenia pompy na stałe związany z pompą, niewymagający odłączania przy mocowaniu pomp w stacjach dokujących.</w:t>
            </w:r>
          </w:p>
        </w:tc>
      </w:tr>
      <w:tr w:rsidR="002C392A" w:rsidRPr="005E49FE" w14:paraId="5DBBC465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65BE81B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0C62" w14:textId="7A068489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 xml:space="preserve">Możliwość komunikacji pomp umieszczonych w stacjach dokujących </w:t>
            </w:r>
            <w:r w:rsidRPr="00FC0B4D">
              <w:rPr>
                <w:rFonts w:ascii="Cambria Math" w:hAnsi="Cambria Math"/>
                <w:kern w:val="20"/>
              </w:rPr>
              <w:t xml:space="preserve">wyposażonych w </w:t>
            </w:r>
            <w:proofErr w:type="spellStart"/>
            <w:r w:rsidRPr="00FC0B4D">
              <w:rPr>
                <w:rFonts w:ascii="Cambria Math" w:hAnsi="Cambria Math"/>
                <w:kern w:val="20"/>
              </w:rPr>
              <w:t>interface</w:t>
            </w:r>
            <w:proofErr w:type="spellEnd"/>
            <w:r w:rsidRPr="00FC0B4D">
              <w:rPr>
                <w:rFonts w:ascii="Cambria Math" w:hAnsi="Cambria Math"/>
                <w:kern w:val="20"/>
              </w:rPr>
              <w:t xml:space="preserve"> LAN z oprogramowaniem zewnętrznym.</w:t>
            </w:r>
          </w:p>
        </w:tc>
      </w:tr>
      <w:tr w:rsidR="002C392A" w:rsidRPr="005E49FE" w14:paraId="2FC5D563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76A4AC2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B5D1" w14:textId="6717753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Historia infuzji – możliwość zapamiętania 2000 zdarzeń oznaczonych datą i godziną zdarzenia.</w:t>
            </w:r>
          </w:p>
        </w:tc>
      </w:tr>
      <w:tr w:rsidR="002C392A" w:rsidRPr="005E49FE" w14:paraId="368E3C2B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3981539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318E2" w14:textId="09F91CD9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Klasa ochrony II, typ CF, odporność na defibrylację, ochrona obudowy IP22</w:t>
            </w:r>
          </w:p>
        </w:tc>
      </w:tr>
      <w:tr w:rsidR="002C392A" w:rsidRPr="005E49FE" w14:paraId="5710373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09A6FB97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8BA5" w14:textId="34D45E17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Zasilanie pomp mocowanych poza stacją dokującą bezpośrednio z sieci energetycznej</w:t>
            </w:r>
          </w:p>
        </w:tc>
      </w:tr>
      <w:tr w:rsidR="002C392A" w:rsidRPr="005E49FE" w14:paraId="35E21C0D" w14:textId="77777777" w:rsidTr="00F36A99">
        <w:trPr>
          <w:trHeight w:val="70"/>
        </w:trPr>
        <w:tc>
          <w:tcPr>
            <w:tcW w:w="522" w:type="dxa"/>
            <w:vAlign w:val="center"/>
          </w:tcPr>
          <w:p w14:paraId="2422557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FAC4" w14:textId="522A671B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Czas pracy z akumulatora do 30 h przy infuzji 5ml/h</w:t>
            </w:r>
          </w:p>
        </w:tc>
      </w:tr>
      <w:tr w:rsidR="002C392A" w:rsidRPr="005E49FE" w14:paraId="06F428D9" w14:textId="77777777" w:rsidTr="00F36A99">
        <w:trPr>
          <w:trHeight w:val="70"/>
        </w:trPr>
        <w:tc>
          <w:tcPr>
            <w:tcW w:w="522" w:type="dxa"/>
            <w:vAlign w:val="center"/>
          </w:tcPr>
          <w:p w14:paraId="3E5AF950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B3CB1" w14:textId="3FC24CFA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Czas ładowania akumulatora do 100% po pełnym rozładowaniu – poniżej 5 h</w:t>
            </w:r>
          </w:p>
        </w:tc>
      </w:tr>
      <w:tr w:rsidR="002C392A" w:rsidRPr="005E49FE" w14:paraId="3BFC6F62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FCFB870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395F3" w14:textId="1C0FE851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Pompa kompatybilna ze stacją dokującą z pakietu 7</w:t>
            </w:r>
          </w:p>
        </w:tc>
      </w:tr>
      <w:tr w:rsidR="002C392A" w:rsidRPr="005E49FE" w14:paraId="34AB90F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5E49CFDA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C273" w14:textId="29502892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Waga do 2,3 kg.</w:t>
            </w:r>
          </w:p>
        </w:tc>
      </w:tr>
      <w:tr w:rsidR="002C392A" w:rsidRPr="005E49FE" w14:paraId="703CA69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68521D55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4555" w14:textId="033124E9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Instrukcja w języku polskim</w:t>
            </w:r>
          </w:p>
        </w:tc>
      </w:tr>
      <w:tr w:rsidR="002C392A" w:rsidRPr="005E49FE" w14:paraId="15966F07" w14:textId="77777777" w:rsidTr="00F36A99">
        <w:trPr>
          <w:trHeight w:val="70"/>
        </w:trPr>
        <w:tc>
          <w:tcPr>
            <w:tcW w:w="522" w:type="dxa"/>
            <w:vAlign w:val="center"/>
          </w:tcPr>
          <w:p w14:paraId="61CFF174" w14:textId="77777777" w:rsidR="002C392A" w:rsidRPr="00506228" w:rsidRDefault="002C392A" w:rsidP="002C392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E010" w14:textId="0F61B725" w:rsidR="002C392A" w:rsidRPr="00FC0B4D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Gwarancja min. 24 m-ce</w:t>
            </w:r>
          </w:p>
        </w:tc>
      </w:tr>
    </w:tbl>
    <w:p w14:paraId="16F328C9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2DD8025F" w14:textId="77777777" w:rsidR="006A3A0C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3E21281C" w14:textId="69CE3947" w:rsidR="002C392A" w:rsidRPr="00AD65DD" w:rsidRDefault="002C392A" w:rsidP="002C392A">
      <w:pPr>
        <w:pStyle w:val="Bezodstpw"/>
        <w:jc w:val="center"/>
        <w:rPr>
          <w:rFonts w:ascii="Cambria Math" w:hAnsi="Cambria Math" w:cs="Times New Roman"/>
          <w:b/>
          <w:bCs/>
        </w:rPr>
      </w:pPr>
      <w:r w:rsidRPr="00AD65DD">
        <w:rPr>
          <w:rFonts w:ascii="Cambria Math" w:eastAsiaTheme="minorHAnsi" w:hAnsi="Cambria Math"/>
          <w:b/>
          <w:bCs/>
          <w:kern w:val="2"/>
          <w14:ligatures w14:val="standardContextual"/>
        </w:rPr>
        <w:t>STACJA DOKUJĄCA DO POMPY INFUZYJNEJ</w:t>
      </w:r>
      <w:r w:rsidRPr="00AD65DD">
        <w:rPr>
          <w:rFonts w:ascii="Cambria Math" w:eastAsiaTheme="minorHAnsi" w:hAnsi="Cambria Math"/>
          <w:kern w:val="2"/>
          <w14:ligatures w14:val="standardContextual"/>
        </w:rPr>
        <w:t xml:space="preserve"> </w:t>
      </w:r>
      <w:r w:rsidRPr="00AD65DD">
        <w:rPr>
          <w:rFonts w:ascii="Cambria Math" w:hAnsi="Cambria Math" w:cs="Times New Roman"/>
          <w:b/>
          <w:bCs/>
        </w:rPr>
        <w:t>– 2 SZT.</w:t>
      </w:r>
    </w:p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511BADE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1E404D4" w14:textId="1C844A1F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339A231D" w14:textId="0C92E0DD" w:rsidR="007F6398" w:rsidRPr="004B26E8" w:rsidRDefault="007F6398" w:rsidP="002C392A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2C392A" w:rsidRPr="005E49FE" w14:paraId="4266461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754F32FB" w14:textId="6AFA36AF" w:rsidR="002C392A" w:rsidRPr="004B26E8" w:rsidRDefault="002C392A" w:rsidP="002C392A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 xml:space="preserve">Możliwość mocowania  do  </w:t>
            </w:r>
            <w:r w:rsidRPr="00AD65DD">
              <w:rPr>
                <w:rFonts w:ascii="Cambria Math" w:hAnsi="Cambria Math"/>
                <w:u w:color="FF0000"/>
              </w:rPr>
              <w:t xml:space="preserve">4 </w:t>
            </w:r>
            <w:r w:rsidRPr="00AD65DD">
              <w:rPr>
                <w:rFonts w:ascii="Cambria Math" w:hAnsi="Cambria Math"/>
              </w:rPr>
              <w:t xml:space="preserve"> pomp infuzyjnych </w:t>
            </w:r>
          </w:p>
        </w:tc>
      </w:tr>
      <w:tr w:rsidR="002C392A" w:rsidRPr="005E49FE" w14:paraId="708F0C9F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2290D886" w14:textId="1C10D049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Obudowa stacji wykonana z tworzywa typu ABS</w:t>
            </w:r>
          </w:p>
        </w:tc>
      </w:tr>
      <w:tr w:rsidR="002C392A" w:rsidRPr="005E49FE" w14:paraId="431D14F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7C5A159A" w14:textId="4C134BF9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 xml:space="preserve">Waga stacji odpowiednio: </w:t>
            </w:r>
            <w:r w:rsidRPr="00AD65DD">
              <w:rPr>
                <w:rFonts w:ascii="Cambria Math" w:hAnsi="Cambria Math"/>
                <w:u w:color="FF0000"/>
              </w:rPr>
              <w:t>do</w:t>
            </w:r>
            <w:r w:rsidRPr="00AD65DD">
              <w:rPr>
                <w:rFonts w:ascii="Cambria Math" w:hAnsi="Cambria Math"/>
              </w:rPr>
              <w:t xml:space="preserve"> </w:t>
            </w:r>
            <w:r w:rsidRPr="00AD65DD">
              <w:rPr>
                <w:rFonts w:ascii="Cambria Math" w:hAnsi="Cambria Math"/>
                <w:u w:color="FF0000"/>
              </w:rPr>
              <w:t>3,8 kg</w:t>
            </w:r>
            <w:r w:rsidRPr="00AD65DD">
              <w:rPr>
                <w:rFonts w:ascii="Cambria Math" w:hAnsi="Cambria Math"/>
                <w:u w:color="1F497D"/>
              </w:rPr>
              <w:t xml:space="preserve"> </w:t>
            </w:r>
          </w:p>
        </w:tc>
      </w:tr>
      <w:tr w:rsidR="002C392A" w:rsidRPr="005E49FE" w14:paraId="12F4643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47A743FA" w14:textId="1B5665ED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Mocowanie stacji do pionowych rur, kolumn</w:t>
            </w:r>
          </w:p>
        </w:tc>
      </w:tr>
      <w:tr w:rsidR="002C392A" w:rsidRPr="005E49FE" w14:paraId="00AFF6E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3ABEFF4" w14:textId="1A52D7AC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56215B00" w14:textId="5C910019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Zasilanie 230 V AC 50Hz</w:t>
            </w:r>
          </w:p>
        </w:tc>
      </w:tr>
      <w:tr w:rsidR="002C392A" w:rsidRPr="005E49FE" w14:paraId="10F4A42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E23E273" w14:textId="6C79E0EE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31B321C1" w14:textId="41BDB877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System szybkiego mocowania pomp w stacji dokującej – bez konieczności demontażu elementów pompy</w:t>
            </w:r>
          </w:p>
        </w:tc>
      </w:tr>
      <w:tr w:rsidR="002C392A" w:rsidRPr="005E49FE" w14:paraId="7A13A254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4B4F631" w14:textId="7ADBF09B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5D55A0DF" w14:textId="265A90F6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Możliwość szybkiego wyjęcia ze stacji każdej (dowolnej) pompy</w:t>
            </w:r>
          </w:p>
        </w:tc>
      </w:tr>
      <w:tr w:rsidR="002C392A" w:rsidRPr="005E49FE" w14:paraId="362449E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5334FD36" w14:textId="3D522618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32E2D54A" w14:textId="7B77FE23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Zasilanie pomp ze stacji dokującej – automatyczne przyłączenie zasilania po włożeniu pompy</w:t>
            </w:r>
          </w:p>
        </w:tc>
      </w:tr>
      <w:tr w:rsidR="002C392A" w:rsidRPr="005E49FE" w14:paraId="332CAD9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9B79068" w14:textId="151CBC18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522BAC5D" w14:textId="455D7D93" w:rsidR="002C392A" w:rsidRPr="004B26E8" w:rsidRDefault="002C392A" w:rsidP="002C392A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Stacja wyposażona w sygnalizację świetlną, alarmową</w:t>
            </w:r>
          </w:p>
        </w:tc>
      </w:tr>
      <w:tr w:rsidR="002C392A" w:rsidRPr="005E49FE" w14:paraId="464ADF3B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8E4ED2A" w14:textId="536C04A0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516B169C" w14:textId="2EA749CB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Przyłączanie stacji dokujących do systemu informatycznego szpitala.</w:t>
            </w:r>
          </w:p>
        </w:tc>
      </w:tr>
      <w:tr w:rsidR="002C392A" w:rsidRPr="005E49FE" w14:paraId="01FE112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74A3B1E" w14:textId="5295B018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75CAD945" w14:textId="62C6BEF8" w:rsidR="002C392A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Stacja posiadająca uchwyt do swobodnego przenoszenia</w:t>
            </w:r>
          </w:p>
        </w:tc>
      </w:tr>
      <w:tr w:rsidR="002C392A" w:rsidRPr="005E49FE" w14:paraId="5453D5C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4A10951" w14:textId="0C39B138" w:rsidR="002C392A" w:rsidRPr="004B26E8" w:rsidRDefault="002C392A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1</w:t>
            </w:r>
            <w:r>
              <w:rPr>
                <w:rFonts w:ascii="Cambria Math" w:hAnsi="Cambria Math"/>
                <w:b/>
                <w:color w:val="000000"/>
                <w:spacing w:val="-2"/>
              </w:rPr>
              <w:t>2</w:t>
            </w: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.</w:t>
            </w:r>
          </w:p>
        </w:tc>
        <w:tc>
          <w:tcPr>
            <w:tcW w:w="8721" w:type="dxa"/>
            <w:vAlign w:val="center"/>
          </w:tcPr>
          <w:p w14:paraId="30EF1875" w14:textId="7D992235" w:rsidR="002C392A" w:rsidRPr="004B26E8" w:rsidRDefault="002C392A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Stacja wraz z wysięgnikiem do zawieszania pojemników z  płynami infuzyjnymi</w:t>
            </w:r>
          </w:p>
        </w:tc>
      </w:tr>
      <w:tr w:rsidR="002C392A" w:rsidRPr="005E49FE" w14:paraId="0579876A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61349B6" w14:textId="32488793" w:rsidR="002C392A" w:rsidRPr="004B26E8" w:rsidRDefault="00FC0B4D" w:rsidP="002C3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  <w:vAlign w:val="center"/>
          </w:tcPr>
          <w:p w14:paraId="4CFF9EBD" w14:textId="442C095B" w:rsidR="002C392A" w:rsidRPr="004B26E8" w:rsidRDefault="00FC0B4D" w:rsidP="002C392A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Stacja kompatybilna z pompą oraz statywem do pomp z tego pakietu</w:t>
            </w:r>
          </w:p>
        </w:tc>
      </w:tr>
    </w:tbl>
    <w:p w14:paraId="13CB2A27" w14:textId="1F563080" w:rsidR="0051673A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6F9A1346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4FDFC67F" w14:textId="3700DFD6" w:rsidR="00444BB4" w:rsidRDefault="00FC0B4D" w:rsidP="00444BB4">
      <w:pPr>
        <w:spacing w:after="0" w:line="240" w:lineRule="auto"/>
        <w:jc w:val="center"/>
        <w:rPr>
          <w:rFonts w:ascii="Cambria Math" w:hAnsi="Cambria Math"/>
          <w:b/>
          <w:bCs/>
          <w:color w:val="000000"/>
        </w:rPr>
      </w:pPr>
      <w:r w:rsidRPr="00AD65DD">
        <w:rPr>
          <w:rFonts w:ascii="Cambria Math" w:hAnsi="Cambria Math"/>
          <w:b/>
          <w:bCs/>
          <w:color w:val="000000"/>
        </w:rPr>
        <w:t>STATYW DO STACJI I POMP INFUZYJNYCH – 2 SZT.</w:t>
      </w:r>
    </w:p>
    <w:p w14:paraId="092101FE" w14:textId="77777777" w:rsidR="00FC0B4D" w:rsidRDefault="00FC0B4D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7936F93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E572A94" w14:textId="18DF377E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5109518C" w14:textId="38D6FCDF" w:rsidR="007F6398" w:rsidRPr="004B26E8" w:rsidRDefault="007F6398" w:rsidP="00596D2E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FC0B4D" w:rsidRPr="005E49FE" w14:paraId="6DA150C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224421E" w14:textId="77777777" w:rsidR="00FC0B4D" w:rsidRPr="004B26E8" w:rsidRDefault="00FC0B4D" w:rsidP="00FC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2409701D" w14:textId="719CDF86" w:rsidR="00FC0B4D" w:rsidRPr="004B26E8" w:rsidRDefault="00FC0B4D" w:rsidP="00FC0B4D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Stabilny stojak umożliwiający łatwe przemieszczanie zestawu urządzeń medycznych</w:t>
            </w:r>
          </w:p>
        </w:tc>
      </w:tr>
      <w:tr w:rsidR="00FC0B4D" w:rsidRPr="005E49FE" w14:paraId="6DF8763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0A4AEA5" w14:textId="77777777" w:rsidR="00FC0B4D" w:rsidRPr="004B26E8" w:rsidRDefault="00FC0B4D" w:rsidP="00FC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28CCCD61" w14:textId="2A381C01" w:rsidR="00FC0B4D" w:rsidRPr="004B26E8" w:rsidRDefault="00FC0B4D" w:rsidP="00FC0B4D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Podstawa jezdna z możliwością blokowania kół</w:t>
            </w:r>
          </w:p>
        </w:tc>
      </w:tr>
      <w:tr w:rsidR="00FC0B4D" w:rsidRPr="005E49FE" w14:paraId="429C3B9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FDCE4B0" w14:textId="77777777" w:rsidR="00FC0B4D" w:rsidRPr="004B26E8" w:rsidRDefault="00FC0B4D" w:rsidP="00FC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083E2EC0" w14:textId="459723CF" w:rsidR="00FC0B4D" w:rsidRPr="004B26E8" w:rsidRDefault="00FC0B4D" w:rsidP="00FC0B4D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Rura nośna wykonana ze stali nierdzewnej.</w:t>
            </w:r>
          </w:p>
        </w:tc>
      </w:tr>
      <w:tr w:rsidR="00FC0B4D" w:rsidRPr="005E49FE" w14:paraId="74E44461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EA719B8" w14:textId="77777777" w:rsidR="00FC0B4D" w:rsidRPr="004B26E8" w:rsidRDefault="00FC0B4D" w:rsidP="00FC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6B92B070" w14:textId="5245A70C" w:rsidR="00FC0B4D" w:rsidRPr="004B26E8" w:rsidRDefault="00FC0B4D" w:rsidP="00FC0B4D">
            <w:pPr>
              <w:rPr>
                <w:rFonts w:ascii="Cambria Math" w:hAnsi="Cambria Math" w:cs="Arial"/>
                <w:color w:val="000000"/>
              </w:rPr>
            </w:pPr>
            <w:r w:rsidRPr="00AD65DD">
              <w:rPr>
                <w:rFonts w:ascii="Cambria Math" w:hAnsi="Cambria Math"/>
              </w:rPr>
              <w:t xml:space="preserve">Możliwość mocowania stacji z pompami lub innych urządzeń medycznych o wadze do 35 kg </w:t>
            </w:r>
          </w:p>
        </w:tc>
      </w:tr>
      <w:tr w:rsidR="00FC0B4D" w:rsidRPr="005E49FE" w14:paraId="629F5EC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42027DC" w14:textId="77777777" w:rsidR="00FC0B4D" w:rsidRPr="004B26E8" w:rsidRDefault="00FC0B4D" w:rsidP="00FC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10A60F0C" w14:textId="552651F2" w:rsidR="00FC0B4D" w:rsidRPr="004B26E8" w:rsidRDefault="00FC0B4D" w:rsidP="00FC0B4D">
            <w:pPr>
              <w:rPr>
                <w:rFonts w:ascii="Cambria Math" w:hAnsi="Cambria Math" w:cs="Arial"/>
                <w:color w:val="000000"/>
              </w:rPr>
            </w:pPr>
            <w:r w:rsidRPr="00AD65DD">
              <w:rPr>
                <w:rFonts w:ascii="Cambria Math" w:hAnsi="Cambria Math"/>
              </w:rPr>
              <w:t>Kompatybilne ze stacją dokującą z tego pakietu</w:t>
            </w:r>
          </w:p>
        </w:tc>
      </w:tr>
    </w:tbl>
    <w:p w14:paraId="68757574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sectPr w:rsidR="00444BB4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624C"/>
    <w:multiLevelType w:val="hybridMultilevel"/>
    <w:tmpl w:val="A466530E"/>
    <w:lvl w:ilvl="0" w:tplc="9DA653EA">
      <w:start w:val="1"/>
      <w:numFmt w:val="bullet"/>
      <w:lvlText w:val="▪"/>
      <w:lvlJc w:val="left"/>
      <w:pPr>
        <w:ind w:left="3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AFBC6">
      <w:start w:val="1"/>
      <w:numFmt w:val="bullet"/>
      <w:lvlText w:val="o"/>
      <w:lvlJc w:val="left"/>
      <w:pPr>
        <w:ind w:left="110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504026">
      <w:start w:val="1"/>
      <w:numFmt w:val="bullet"/>
      <w:lvlText w:val="▪"/>
      <w:lvlJc w:val="left"/>
      <w:pPr>
        <w:ind w:left="182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72082A">
      <w:start w:val="1"/>
      <w:numFmt w:val="bullet"/>
      <w:lvlText w:val="•"/>
      <w:lvlJc w:val="left"/>
      <w:pPr>
        <w:ind w:left="25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A22492">
      <w:start w:val="1"/>
      <w:numFmt w:val="bullet"/>
      <w:lvlText w:val="o"/>
      <w:lvlJc w:val="left"/>
      <w:pPr>
        <w:ind w:left="326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967C">
      <w:start w:val="1"/>
      <w:numFmt w:val="bullet"/>
      <w:lvlText w:val="▪"/>
      <w:lvlJc w:val="left"/>
      <w:pPr>
        <w:ind w:left="39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D2FB00">
      <w:start w:val="1"/>
      <w:numFmt w:val="bullet"/>
      <w:lvlText w:val="•"/>
      <w:lvlJc w:val="left"/>
      <w:pPr>
        <w:ind w:left="470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1255C6">
      <w:start w:val="1"/>
      <w:numFmt w:val="bullet"/>
      <w:lvlText w:val="o"/>
      <w:lvlJc w:val="left"/>
      <w:pPr>
        <w:ind w:left="542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0631B8">
      <w:start w:val="1"/>
      <w:numFmt w:val="bullet"/>
      <w:lvlText w:val="▪"/>
      <w:lvlJc w:val="left"/>
      <w:pPr>
        <w:ind w:left="61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1B06FE3"/>
    <w:multiLevelType w:val="hybridMultilevel"/>
    <w:tmpl w:val="71F06A62"/>
    <w:lvl w:ilvl="0" w:tplc="961C4D3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22715A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E5D5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C82D7E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F425D0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C8A8A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64DE4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E6BAA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86B02E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3E5BAA"/>
    <w:multiLevelType w:val="hybridMultilevel"/>
    <w:tmpl w:val="B69C0670"/>
    <w:lvl w:ilvl="0" w:tplc="3B00023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304CE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1C55C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46B0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C21FF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BE186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10CC6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427C4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238F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A006DB7"/>
    <w:multiLevelType w:val="hybridMultilevel"/>
    <w:tmpl w:val="CBBC9BCA"/>
    <w:lvl w:ilvl="0" w:tplc="392E2A5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8E72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B2C4EA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8A0D4A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34482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46F190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248202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A421B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62B39A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A147AB2"/>
    <w:multiLevelType w:val="hybridMultilevel"/>
    <w:tmpl w:val="92EC0EC8"/>
    <w:lvl w:ilvl="0" w:tplc="7344958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7410C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5644B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2FD7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CA565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9ADE7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E8610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42F0B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08430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4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0"/>
  </w:num>
  <w:num w:numId="5" w16cid:durableId="1524977974">
    <w:abstractNumId w:val="8"/>
  </w:num>
  <w:num w:numId="6" w16cid:durableId="1613169866">
    <w:abstractNumId w:val="3"/>
  </w:num>
  <w:num w:numId="7" w16cid:durableId="490799371">
    <w:abstractNumId w:val="1"/>
  </w:num>
  <w:num w:numId="8" w16cid:durableId="121922139">
    <w:abstractNumId w:val="1"/>
    <w:lvlOverride w:ilvl="0">
      <w:lvl w:ilvl="0" w:tplc="9DA653EA">
        <w:start w:val="1"/>
        <w:numFmt w:val="bullet"/>
        <w:lvlText w:val="▪"/>
        <w:lvlJc w:val="left"/>
        <w:pPr>
          <w:ind w:left="3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AFBC6">
        <w:start w:val="1"/>
        <w:numFmt w:val="bullet"/>
        <w:lvlText w:val="o"/>
        <w:lvlJc w:val="left"/>
        <w:pPr>
          <w:ind w:left="110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E504026">
        <w:start w:val="1"/>
        <w:numFmt w:val="bullet"/>
        <w:lvlText w:val="▪"/>
        <w:lvlJc w:val="left"/>
        <w:pPr>
          <w:ind w:left="182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72082A">
        <w:start w:val="1"/>
        <w:numFmt w:val="bullet"/>
        <w:lvlText w:val="•"/>
        <w:lvlJc w:val="left"/>
        <w:pPr>
          <w:ind w:left="25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A22492">
        <w:start w:val="1"/>
        <w:numFmt w:val="bullet"/>
        <w:lvlText w:val="o"/>
        <w:lvlJc w:val="left"/>
        <w:pPr>
          <w:ind w:left="326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C6967C">
        <w:start w:val="1"/>
        <w:numFmt w:val="bullet"/>
        <w:lvlText w:val="▪"/>
        <w:lvlJc w:val="left"/>
        <w:pPr>
          <w:ind w:left="39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D2FB00">
        <w:start w:val="1"/>
        <w:numFmt w:val="bullet"/>
        <w:lvlText w:val="•"/>
        <w:lvlJc w:val="left"/>
        <w:pPr>
          <w:ind w:left="470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1255C6">
        <w:start w:val="1"/>
        <w:numFmt w:val="bullet"/>
        <w:lvlText w:val="o"/>
        <w:lvlJc w:val="left"/>
        <w:pPr>
          <w:ind w:left="542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0631B8">
        <w:start w:val="1"/>
        <w:numFmt w:val="bullet"/>
        <w:lvlText w:val="▪"/>
        <w:lvlJc w:val="left"/>
        <w:pPr>
          <w:ind w:left="61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44723613">
    <w:abstractNumId w:val="5"/>
  </w:num>
  <w:num w:numId="10" w16cid:durableId="392578722">
    <w:abstractNumId w:val="6"/>
  </w:num>
  <w:num w:numId="11" w16cid:durableId="1410808502">
    <w:abstractNumId w:val="7"/>
  </w:num>
  <w:num w:numId="12" w16cid:durableId="1863933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2137C0"/>
    <w:rsid w:val="0027326F"/>
    <w:rsid w:val="002C392A"/>
    <w:rsid w:val="00382CBE"/>
    <w:rsid w:val="003A058D"/>
    <w:rsid w:val="00426741"/>
    <w:rsid w:val="004435C3"/>
    <w:rsid w:val="00444BB4"/>
    <w:rsid w:val="004B26E8"/>
    <w:rsid w:val="00506228"/>
    <w:rsid w:val="0051673A"/>
    <w:rsid w:val="00596D2E"/>
    <w:rsid w:val="005E49FE"/>
    <w:rsid w:val="005F22D2"/>
    <w:rsid w:val="00691509"/>
    <w:rsid w:val="006A3A0C"/>
    <w:rsid w:val="006A51D7"/>
    <w:rsid w:val="0079073F"/>
    <w:rsid w:val="007D3DEA"/>
    <w:rsid w:val="007F6398"/>
    <w:rsid w:val="00880A93"/>
    <w:rsid w:val="00881B16"/>
    <w:rsid w:val="008914CD"/>
    <w:rsid w:val="00923707"/>
    <w:rsid w:val="009F256C"/>
    <w:rsid w:val="00A253BB"/>
    <w:rsid w:val="00A84D8C"/>
    <w:rsid w:val="00B7696F"/>
    <w:rsid w:val="00DA647D"/>
    <w:rsid w:val="00DD4E16"/>
    <w:rsid w:val="00E235EC"/>
    <w:rsid w:val="00E72930"/>
    <w:rsid w:val="00EB2FBD"/>
    <w:rsid w:val="00F06370"/>
    <w:rsid w:val="00F6484F"/>
    <w:rsid w:val="00F83360"/>
    <w:rsid w:val="00FC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3</cp:revision>
  <dcterms:created xsi:type="dcterms:W3CDTF">2026-03-31T09:51:00Z</dcterms:created>
  <dcterms:modified xsi:type="dcterms:W3CDTF">2026-03-31T09:58:00Z</dcterms:modified>
</cp:coreProperties>
</file>